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3298C" w14:textId="77777777" w:rsidR="003B1C38" w:rsidRPr="00314288" w:rsidRDefault="003B1C38" w:rsidP="003B1C38">
      <w:pPr>
        <w:rPr>
          <w:rFonts w:ascii="Calibri" w:hAnsi="Calibri" w:cs="Arial"/>
          <w:b/>
          <w:color w:val="FF0000"/>
          <w:sz w:val="24"/>
          <w:szCs w:val="24"/>
          <w:u w:val="single"/>
        </w:rPr>
      </w:pPr>
      <w:r>
        <w:rPr>
          <w:rFonts w:ascii="Calibri" w:hAnsi="Calibri" w:cs="Arial"/>
          <w:b/>
          <w:color w:val="FF0000"/>
          <w:sz w:val="24"/>
          <w:szCs w:val="24"/>
          <w:u w:val="single"/>
        </w:rPr>
        <w:t xml:space="preserve">SAMPLE PRESS </w:t>
      </w:r>
      <w:r w:rsidRPr="00314288">
        <w:rPr>
          <w:rFonts w:ascii="Calibri" w:hAnsi="Calibri" w:cs="Arial"/>
          <w:b/>
          <w:color w:val="FF0000"/>
          <w:sz w:val="24"/>
          <w:szCs w:val="24"/>
          <w:u w:val="single"/>
        </w:rPr>
        <w:t>RELEASE TEMPLATE</w:t>
      </w:r>
    </w:p>
    <w:p w14:paraId="1D9F2FE4" w14:textId="77777777" w:rsidR="00F66C4F" w:rsidRDefault="00F66C4F" w:rsidP="003B1C38">
      <w:pPr>
        <w:rPr>
          <w:rFonts w:ascii="Calibri" w:hAnsi="Calibri" w:cs="Arial"/>
          <w:b/>
          <w:sz w:val="24"/>
          <w:szCs w:val="24"/>
        </w:rPr>
      </w:pPr>
    </w:p>
    <w:p w14:paraId="45732C75" w14:textId="66A6873D" w:rsidR="003B1C38" w:rsidRPr="00314288" w:rsidRDefault="003B1C38" w:rsidP="003B1C38">
      <w:pPr>
        <w:rPr>
          <w:rFonts w:ascii="Calibri" w:hAnsi="Calibri" w:cs="Arial"/>
          <w:b/>
          <w:sz w:val="24"/>
          <w:szCs w:val="24"/>
        </w:rPr>
      </w:pPr>
      <w:r w:rsidRPr="00314288">
        <w:rPr>
          <w:rFonts w:ascii="Calibri" w:hAnsi="Calibri" w:cs="Arial"/>
          <w:b/>
          <w:sz w:val="24"/>
          <w:szCs w:val="24"/>
        </w:rPr>
        <w:t>FOR IMMEDIATE RELEASE</w:t>
      </w:r>
    </w:p>
    <w:p w14:paraId="402F4750" w14:textId="77777777" w:rsidR="003B1C38" w:rsidRDefault="003B1C38" w:rsidP="000E6DD0">
      <w:pPr>
        <w:jc w:val="center"/>
      </w:pPr>
    </w:p>
    <w:p w14:paraId="1D26393D" w14:textId="77777777" w:rsidR="00BB1AD8" w:rsidRDefault="00CC2A3D" w:rsidP="003B1C38">
      <w:pPr>
        <w:jc w:val="center"/>
        <w:rPr>
          <w:b/>
          <w:bCs/>
          <w:sz w:val="24"/>
          <w:szCs w:val="24"/>
        </w:rPr>
      </w:pPr>
      <w:r w:rsidRPr="00BB1AD8">
        <w:rPr>
          <w:b/>
          <w:bCs/>
          <w:sz w:val="24"/>
          <w:szCs w:val="24"/>
        </w:rPr>
        <w:t xml:space="preserve">Counselors </w:t>
      </w:r>
      <w:r w:rsidR="00F67E74" w:rsidRPr="00BB1AD8">
        <w:rPr>
          <w:b/>
          <w:bCs/>
          <w:sz w:val="24"/>
          <w:szCs w:val="24"/>
        </w:rPr>
        <w:t xml:space="preserve">of Real Estate </w:t>
      </w:r>
      <w:r w:rsidRPr="00BB1AD8">
        <w:rPr>
          <w:b/>
          <w:bCs/>
          <w:sz w:val="24"/>
          <w:szCs w:val="24"/>
        </w:rPr>
        <w:t>Unvei</w:t>
      </w:r>
      <w:r w:rsidR="00016FFF" w:rsidRPr="00BB1AD8">
        <w:rPr>
          <w:b/>
          <w:bCs/>
          <w:sz w:val="24"/>
          <w:szCs w:val="24"/>
        </w:rPr>
        <w:t xml:space="preserve">l </w:t>
      </w:r>
      <w:r w:rsidR="00BB1AD8">
        <w:rPr>
          <w:b/>
          <w:bCs/>
          <w:sz w:val="24"/>
          <w:szCs w:val="24"/>
        </w:rPr>
        <w:t xml:space="preserve">the </w:t>
      </w:r>
      <w:r w:rsidR="00016FFF" w:rsidRPr="00BB1AD8">
        <w:rPr>
          <w:b/>
          <w:bCs/>
          <w:sz w:val="24"/>
          <w:szCs w:val="24"/>
        </w:rPr>
        <w:t>Ten Most Significant Challenges</w:t>
      </w:r>
    </w:p>
    <w:p w14:paraId="1DD47E24" w14:textId="09B42C47" w:rsidR="00CC2A3D" w:rsidRPr="00BB1AD8" w:rsidRDefault="00016FFF" w:rsidP="00BB1AD8">
      <w:pPr>
        <w:jc w:val="center"/>
        <w:rPr>
          <w:b/>
          <w:bCs/>
          <w:sz w:val="24"/>
          <w:szCs w:val="24"/>
        </w:rPr>
      </w:pPr>
      <w:r w:rsidRPr="00BB1AD8">
        <w:rPr>
          <w:b/>
          <w:bCs/>
          <w:sz w:val="24"/>
          <w:szCs w:val="24"/>
        </w:rPr>
        <w:t xml:space="preserve"> and Opportunities</w:t>
      </w:r>
      <w:r w:rsidR="00BB1AD8">
        <w:rPr>
          <w:b/>
          <w:bCs/>
          <w:sz w:val="24"/>
          <w:szCs w:val="24"/>
        </w:rPr>
        <w:t xml:space="preserve"> </w:t>
      </w:r>
      <w:r w:rsidR="002A4D88" w:rsidRPr="00BB1AD8">
        <w:rPr>
          <w:b/>
          <w:bCs/>
          <w:sz w:val="24"/>
          <w:szCs w:val="24"/>
        </w:rPr>
        <w:t xml:space="preserve">Facing the Industry </w:t>
      </w:r>
    </w:p>
    <w:p w14:paraId="5F957B51" w14:textId="77777777" w:rsidR="000E6DD0" w:rsidRDefault="000E6DD0" w:rsidP="005834D6">
      <w:pPr>
        <w:rPr>
          <w:b/>
          <w:bCs/>
        </w:rPr>
      </w:pPr>
    </w:p>
    <w:p w14:paraId="11B1E1AC" w14:textId="5398B78E" w:rsidR="008D2A50" w:rsidRDefault="00BB1AD8" w:rsidP="008D2A50">
      <w:r w:rsidRPr="005D6224">
        <w:rPr>
          <w:b/>
          <w:bCs/>
          <w:color w:val="C00000"/>
        </w:rPr>
        <w:t>YOUR CITY</w:t>
      </w:r>
      <w:r w:rsidR="00CC2A3D" w:rsidRPr="005D6224">
        <w:rPr>
          <w:b/>
          <w:bCs/>
          <w:color w:val="C00000"/>
        </w:rPr>
        <w:t xml:space="preserve"> (</w:t>
      </w:r>
      <w:r w:rsidRPr="005D6224">
        <w:rPr>
          <w:b/>
          <w:bCs/>
          <w:color w:val="C00000"/>
        </w:rPr>
        <w:t>DATE</w:t>
      </w:r>
      <w:r w:rsidR="00CC2A3D" w:rsidRPr="005D6224">
        <w:rPr>
          <w:b/>
          <w:bCs/>
          <w:color w:val="C00000"/>
        </w:rPr>
        <w:t>)</w:t>
      </w:r>
      <w:r w:rsidR="00CC2A3D" w:rsidRPr="005D6224">
        <w:rPr>
          <w:color w:val="C00000"/>
        </w:rPr>
        <w:t> </w:t>
      </w:r>
      <w:r w:rsidR="00CC2A3D" w:rsidRPr="0047464B">
        <w:t>—</w:t>
      </w:r>
      <w:r w:rsidR="008D2A50">
        <w:t xml:space="preserve"> Political uncertainty is the leading concern for top commercial and multifamily real estate advisors </w:t>
      </w:r>
      <w:r>
        <w:t>in 2025</w:t>
      </w:r>
      <w:r w:rsidR="008D2A50">
        <w:t xml:space="preserve">—but it has a lot of competition, according to the </w:t>
      </w:r>
      <w:hyperlink r:id="rId7" w:history="1">
        <w:r w:rsidR="005D20F6">
          <w:rPr>
            <w:rStyle w:val="Hyperlink"/>
          </w:rPr>
          <w:t>Top Ten Issues Affecting Real Estate®</w:t>
        </w:r>
      </w:hyperlink>
      <w:r w:rsidR="005D20F6">
        <w:t>,</w:t>
      </w:r>
      <w:r w:rsidR="008D2A50">
        <w:t xml:space="preserve"> a</w:t>
      </w:r>
      <w:r>
        <w:t xml:space="preserve">n </w:t>
      </w:r>
      <w:r w:rsidR="008D2A50">
        <w:t xml:space="preserve">annual report from </w:t>
      </w:r>
      <w:hyperlink r:id="rId8" w:history="1">
        <w:r w:rsidR="008D2A50" w:rsidRPr="0047464B">
          <w:rPr>
            <w:rStyle w:val="Hyperlink"/>
          </w:rPr>
          <w:t>The Counselors of Real Estate®,</w:t>
        </w:r>
      </w:hyperlink>
      <w:r w:rsidR="008D2A50" w:rsidRPr="0047464B">
        <w:t xml:space="preserve"> a global organization of </w:t>
      </w:r>
      <w:r w:rsidR="005D6224">
        <w:t xml:space="preserve">commercial </w:t>
      </w:r>
      <w:r w:rsidR="008D2A50" w:rsidRPr="0047464B">
        <w:t>property advisors</w:t>
      </w:r>
      <w:r w:rsidR="008D2A50">
        <w:t>.</w:t>
      </w:r>
    </w:p>
    <w:p w14:paraId="1D140064" w14:textId="49D8912A" w:rsidR="005834D6" w:rsidRPr="005834D6" w:rsidRDefault="008D2A50" w:rsidP="008D2A50">
      <w:r>
        <w:t xml:space="preserve">In addition to political uncertainty, the real estate industry also faces $1.8 trillion in </w:t>
      </w:r>
      <w:r w:rsidR="00786051">
        <w:t>commercial real estate</w:t>
      </w:r>
      <w:r>
        <w:t xml:space="preserve"> debt set to mature before 2026; $380 billion in economic losses in 202</w:t>
      </w:r>
      <w:r w:rsidR="005D20F6">
        <w:t>3</w:t>
      </w:r>
      <w:r>
        <w:t xml:space="preserve"> due to extreme weather; soaring insurance costs; and persistent, still-elevated interest rates. On the bright side, in</w:t>
      </w:r>
      <w:r w:rsidR="000E6DD0">
        <w:t xml:space="preserve">terest-rate induced </w:t>
      </w:r>
      <w:r w:rsidR="007E1607">
        <w:t xml:space="preserve">bleeding has </w:t>
      </w:r>
      <w:r w:rsidR="000E6DD0">
        <w:t xml:space="preserve">slowed </w:t>
      </w:r>
      <w:r w:rsidR="007E1607">
        <w:t xml:space="preserve">as deal volume </w:t>
      </w:r>
      <w:r w:rsidR="000E6DD0">
        <w:t xml:space="preserve">has </w:t>
      </w:r>
      <w:r w:rsidR="007E1607">
        <w:t>beg</w:t>
      </w:r>
      <w:r w:rsidR="000E6DD0">
        <w:t>un</w:t>
      </w:r>
      <w:r w:rsidR="007E1607">
        <w:t xml:space="preserve"> to stabilize heading into 2025</w:t>
      </w:r>
      <w:r>
        <w:t xml:space="preserve">. </w:t>
      </w:r>
    </w:p>
    <w:p w14:paraId="235FB906" w14:textId="1F07B680" w:rsidR="005834D6" w:rsidRPr="005834D6" w:rsidRDefault="00DA7BC7" w:rsidP="005834D6">
      <w:r>
        <w:t>“</w:t>
      </w:r>
      <w:r w:rsidR="00DA0924">
        <w:t xml:space="preserve">This coming year, elections in </w:t>
      </w:r>
      <w:r w:rsidR="00DA0924" w:rsidRPr="00DA0924">
        <w:t>more than 70 countries could shake up an already volatile geopolitical landscape</w:t>
      </w:r>
      <w:r w:rsidR="00DA0924">
        <w:t>, and the U.S. elections</w:t>
      </w:r>
      <w:r w:rsidR="008733EC">
        <w:t xml:space="preserve"> in particular</w:t>
      </w:r>
      <w:r w:rsidR="00DA0924">
        <w:t xml:space="preserve"> will have a significant impact on </w:t>
      </w:r>
      <w:r w:rsidR="00DA0924" w:rsidRPr="00DA0924">
        <w:t>regulation, trade, corporate taxes, immigration policy</w:t>
      </w:r>
      <w:r w:rsidR="00DA0924">
        <w:t xml:space="preserve"> and sustainability</w:t>
      </w:r>
      <w:r w:rsidR="00C8249D">
        <w:t xml:space="preserve">,” </w:t>
      </w:r>
      <w:r w:rsidR="00BB1AD8">
        <w:t xml:space="preserve">said </w:t>
      </w:r>
      <w:r w:rsidR="00BB1AD8" w:rsidRPr="00BB1AD8">
        <w:rPr>
          <w:b/>
          <w:bCs/>
          <w:color w:val="C00000"/>
        </w:rPr>
        <w:t xml:space="preserve">Your Name, </w:t>
      </w:r>
      <w:r w:rsidR="00BB1AD8">
        <w:rPr>
          <w:b/>
          <w:bCs/>
          <w:color w:val="C00000"/>
        </w:rPr>
        <w:t xml:space="preserve">CRE, </w:t>
      </w:r>
      <w:r w:rsidR="00BB1AD8" w:rsidRPr="00BB1AD8">
        <w:rPr>
          <w:b/>
          <w:bCs/>
          <w:color w:val="C00000"/>
        </w:rPr>
        <w:t>Title, Company</w:t>
      </w:r>
      <w:r w:rsidR="00BB1AD8" w:rsidRPr="00BB1AD8">
        <w:rPr>
          <w:color w:val="000000" w:themeColor="text1"/>
        </w:rPr>
        <w:t>.</w:t>
      </w:r>
      <w:r w:rsidR="00BB1AD8">
        <w:rPr>
          <w:color w:val="C00000"/>
        </w:rPr>
        <w:t xml:space="preserve">  </w:t>
      </w:r>
      <w:r w:rsidR="00C8249D">
        <w:t>“</w:t>
      </w:r>
      <w:r w:rsidR="004A3D7D">
        <w:t>T</w:t>
      </w:r>
      <w:r w:rsidR="005834D6" w:rsidRPr="005834D6">
        <w:t xml:space="preserve">he urgency </w:t>
      </w:r>
      <w:r w:rsidR="00407174">
        <w:t xml:space="preserve">of prioritizing </w:t>
      </w:r>
      <w:r w:rsidR="005834D6" w:rsidRPr="005834D6">
        <w:t>sustainab</w:t>
      </w:r>
      <w:r w:rsidR="00407174">
        <w:t xml:space="preserve">ility and climate resiliency in real estate strategies has never been more apparent, as </w:t>
      </w:r>
      <w:r w:rsidR="00DA0924">
        <w:t>we</w:t>
      </w:r>
      <w:r w:rsidR="00BB1AD8">
        <w:t>’ve</w:t>
      </w:r>
      <w:r w:rsidR="00DA0924">
        <w:t xml:space="preserve"> </w:t>
      </w:r>
      <w:r w:rsidR="00407174">
        <w:t>s</w:t>
      </w:r>
      <w:r w:rsidR="00BB1AD8">
        <w:t>een</w:t>
      </w:r>
      <w:r w:rsidR="00407174">
        <w:t xml:space="preserve"> </w:t>
      </w:r>
      <w:r w:rsidR="00B1158C">
        <w:t>massive economic</w:t>
      </w:r>
      <w:r w:rsidR="00407174">
        <w:t xml:space="preserve"> losses due to extreme weather, which is also contributing to </w:t>
      </w:r>
      <w:r w:rsidR="00B1158C">
        <w:t>sky-high</w:t>
      </w:r>
      <w:r w:rsidR="00407174">
        <w:t xml:space="preserve"> insurance costs</w:t>
      </w:r>
      <w:r w:rsidR="008733EC">
        <w:t>.</w:t>
      </w:r>
      <w:r w:rsidR="00D3066B">
        <w:t>”</w:t>
      </w:r>
    </w:p>
    <w:p w14:paraId="2A49D39A" w14:textId="7A2BB39C" w:rsidR="005834D6" w:rsidRPr="005834D6" w:rsidRDefault="00BB1AD8" w:rsidP="008733EC">
      <w:r w:rsidRPr="00BB1AD8">
        <w:rPr>
          <w:b/>
          <w:bCs/>
          <w:color w:val="C00000"/>
        </w:rPr>
        <w:t>Your Last Name</w:t>
      </w:r>
      <w:r w:rsidRPr="00BB1AD8">
        <w:rPr>
          <w:color w:val="C00000"/>
        </w:rPr>
        <w:t xml:space="preserve"> </w:t>
      </w:r>
      <w:r>
        <w:t xml:space="preserve">said </w:t>
      </w:r>
      <w:r w:rsidRPr="00BB1AD8">
        <w:rPr>
          <w:b/>
          <w:bCs/>
          <w:color w:val="C00000"/>
        </w:rPr>
        <w:t>he/she</w:t>
      </w:r>
      <w:r>
        <w:t xml:space="preserve"> </w:t>
      </w:r>
      <w:r w:rsidR="008733EC">
        <w:t xml:space="preserve">is </w:t>
      </w:r>
      <w:r w:rsidR="005834D6" w:rsidRPr="005834D6">
        <w:t>approach</w:t>
      </w:r>
      <w:r w:rsidR="008733EC">
        <w:t>ing</w:t>
      </w:r>
      <w:r w:rsidR="005834D6" w:rsidRPr="005834D6">
        <w:t xml:space="preserve"> the disruptions </w:t>
      </w:r>
      <w:r w:rsidR="004A3D7D">
        <w:t xml:space="preserve">caused by this pervasive uncertainty </w:t>
      </w:r>
      <w:r w:rsidR="005834D6" w:rsidRPr="005834D6">
        <w:t xml:space="preserve">with a focus on solutions, enhancing </w:t>
      </w:r>
      <w:r w:rsidR="00C8249D">
        <w:t xml:space="preserve">the industry’s </w:t>
      </w:r>
      <w:r w:rsidR="005834D6" w:rsidRPr="005834D6">
        <w:t>understanding of how these issues will impact</w:t>
      </w:r>
      <w:r w:rsidR="00C8249D">
        <w:t xml:space="preserve"> various asset classes</w:t>
      </w:r>
      <w:r w:rsidR="005834D6" w:rsidRPr="005834D6">
        <w:t xml:space="preserve"> within commercial real estate</w:t>
      </w:r>
      <w:r w:rsidR="008733EC">
        <w:t>.</w:t>
      </w:r>
    </w:p>
    <w:p w14:paraId="1D9A3256" w14:textId="20EDCFD7" w:rsidR="00CC2A3D" w:rsidRPr="008C3D8E" w:rsidRDefault="00CC2A3D" w:rsidP="00CC2A3D">
      <w:pPr>
        <w:rPr>
          <w:b/>
          <w:bCs/>
        </w:rPr>
      </w:pPr>
      <w:r w:rsidRPr="008C3D8E">
        <w:rPr>
          <w:b/>
          <w:bCs/>
        </w:rPr>
        <w:t>Top Ten Issues Affecting Real Estate</w:t>
      </w:r>
      <w:r w:rsidR="004A3D7D">
        <w:rPr>
          <w:b/>
          <w:bCs/>
        </w:rPr>
        <w:t xml:space="preserve"> in 2025</w:t>
      </w:r>
    </w:p>
    <w:p w14:paraId="4D11E59C" w14:textId="68170B04" w:rsidR="00903042" w:rsidRDefault="00903042" w:rsidP="00903042">
      <w:pPr>
        <w:numPr>
          <w:ilvl w:val="0"/>
          <w:numId w:val="1"/>
        </w:numPr>
      </w:pPr>
      <w:r w:rsidRPr="00903042">
        <w:rPr>
          <w:b/>
          <w:bCs/>
        </w:rPr>
        <w:t xml:space="preserve">Political Uncertainty </w:t>
      </w:r>
      <w:r w:rsidR="0006749E">
        <w:rPr>
          <w:b/>
          <w:bCs/>
        </w:rPr>
        <w:t xml:space="preserve">Pervades Every Corner </w:t>
      </w:r>
      <w:r w:rsidRPr="00903042">
        <w:t xml:space="preserve">– In 2025, the real estate sector is navigating uncertainty due to </w:t>
      </w:r>
      <w:r w:rsidR="004A3D7D">
        <w:t xml:space="preserve">elections in more than 70 nations including the United States, Taiwan and the EU. </w:t>
      </w:r>
      <w:r w:rsidRPr="00903042">
        <w:t xml:space="preserve">In the U.S., </w:t>
      </w:r>
      <w:r w:rsidR="004A3D7D">
        <w:t>n</w:t>
      </w:r>
      <w:r w:rsidRPr="00903042">
        <w:t xml:space="preserve">otable </w:t>
      </w:r>
      <w:r w:rsidR="004A3D7D">
        <w:t xml:space="preserve">real estate-related </w:t>
      </w:r>
      <w:r w:rsidRPr="00903042">
        <w:t xml:space="preserve">issues to watch include potential rent caps for corporate landlords and modifications to the 1031 like-kind exchange. Globally, elections could affect trade and military policies, with repercussions for the U.S. economy </w:t>
      </w:r>
      <w:r w:rsidR="004A3D7D">
        <w:t>overall</w:t>
      </w:r>
      <w:r w:rsidRPr="00903042">
        <w:t>. This unpredictability complicates real estate transactions</w:t>
      </w:r>
      <w:r w:rsidR="004A3D7D">
        <w:t xml:space="preserve"> and real estate workouts for distressed assets</w:t>
      </w:r>
      <w:r w:rsidRPr="00903042">
        <w:t xml:space="preserve">, as investors seek clarity on economic growth, inflation, and interest rates. </w:t>
      </w:r>
    </w:p>
    <w:p w14:paraId="52F22496" w14:textId="70DBA940" w:rsidR="00C17F50" w:rsidRDefault="0006749E" w:rsidP="00C17F50">
      <w:pPr>
        <w:numPr>
          <w:ilvl w:val="0"/>
          <w:numId w:val="1"/>
        </w:numPr>
      </w:pPr>
      <w:r>
        <w:rPr>
          <w:b/>
          <w:bCs/>
        </w:rPr>
        <w:t>Transactions Will Remain Tepid</w:t>
      </w:r>
      <w:r w:rsidR="00C17F50" w:rsidRPr="00903042">
        <w:rPr>
          <w:b/>
          <w:bCs/>
        </w:rPr>
        <w:t xml:space="preserve"> </w:t>
      </w:r>
      <w:r w:rsidR="002F2DAA">
        <w:rPr>
          <w:b/>
          <w:bCs/>
        </w:rPr>
        <w:t xml:space="preserve">Amid High Financing Costs </w:t>
      </w:r>
      <w:r w:rsidR="00C17F50" w:rsidRPr="00903042">
        <w:rPr>
          <w:b/>
          <w:bCs/>
        </w:rPr>
        <w:t>–</w:t>
      </w:r>
      <w:r w:rsidR="00C17F50">
        <w:rPr>
          <w:b/>
          <w:bCs/>
        </w:rPr>
        <w:t xml:space="preserve"> </w:t>
      </w:r>
      <w:r w:rsidR="004A3D7D">
        <w:t>While interest rates came down in September 2024, the financing markets remain challenged due to still-elevated rates.</w:t>
      </w:r>
      <w:r w:rsidR="00C17F50" w:rsidRPr="00903042">
        <w:t xml:space="preserve"> </w:t>
      </w:r>
      <w:r w:rsidR="004A3D7D">
        <w:t xml:space="preserve">As a result, </w:t>
      </w:r>
      <w:r w:rsidR="00C17F50" w:rsidRPr="00903042">
        <w:t>deal assessments and market valuations</w:t>
      </w:r>
      <w:r w:rsidR="004A3D7D">
        <w:t xml:space="preserve"> remain complex</w:t>
      </w:r>
      <w:r w:rsidR="00C17F50" w:rsidRPr="00903042">
        <w:t>.</w:t>
      </w:r>
      <w:r w:rsidR="00C61613">
        <w:t xml:space="preserve"> </w:t>
      </w:r>
      <w:r w:rsidR="00C17F50" w:rsidRPr="00903042">
        <w:t>While transaction volumes are stabilizing</w:t>
      </w:r>
      <w:r w:rsidR="004A3D7D">
        <w:t xml:space="preserve">, </w:t>
      </w:r>
      <w:r w:rsidR="00C17F50" w:rsidRPr="00903042">
        <w:t xml:space="preserve">uncertainty </w:t>
      </w:r>
      <w:r w:rsidR="00BB1AD8">
        <w:t>persists</w:t>
      </w:r>
      <w:r w:rsidR="00C17F50" w:rsidRPr="00903042">
        <w:t>. Many owners are hesitant to sell, and potential buyers are wary of high prices</w:t>
      </w:r>
      <w:r w:rsidR="004A3D7D">
        <w:t xml:space="preserve">, still expecting a surge in </w:t>
      </w:r>
      <w:r w:rsidR="00C17F50" w:rsidRPr="00903042">
        <w:t xml:space="preserve">distressed asset sales due to upcoming loan maturities. </w:t>
      </w:r>
      <w:r w:rsidR="004A3D7D">
        <w:lastRenderedPageBreak/>
        <w:t xml:space="preserve">The Counselors’ report predicts </w:t>
      </w:r>
      <w:r>
        <w:t xml:space="preserve">that </w:t>
      </w:r>
      <w:r w:rsidR="00C17F50" w:rsidRPr="00903042">
        <w:t xml:space="preserve">buyers </w:t>
      </w:r>
      <w:r>
        <w:t>will</w:t>
      </w:r>
      <w:r w:rsidRPr="00903042">
        <w:t xml:space="preserve"> </w:t>
      </w:r>
      <w:r w:rsidR="00C17F50" w:rsidRPr="00903042">
        <w:t>continue to adopt a cautious approach, focusing on higher cap rate deals, with a more aggressive market re-entry likely not materializing for another two years.</w:t>
      </w:r>
    </w:p>
    <w:p w14:paraId="4AA8EEA1" w14:textId="0AC9653A" w:rsidR="00627CB8" w:rsidRPr="00627CB8" w:rsidRDefault="00786051" w:rsidP="00627CB8">
      <w:pPr>
        <w:numPr>
          <w:ilvl w:val="0"/>
          <w:numId w:val="1"/>
        </w:numPr>
      </w:pPr>
      <w:r>
        <w:rPr>
          <w:b/>
          <w:iCs/>
        </w:rPr>
        <w:t>Commercial Real Estate</w:t>
      </w:r>
      <w:r w:rsidR="00627CB8" w:rsidRPr="00CF0EE5">
        <w:rPr>
          <w:b/>
          <w:iCs/>
        </w:rPr>
        <w:t xml:space="preserve"> Market </w:t>
      </w:r>
      <w:r w:rsidR="00627CB8">
        <w:rPr>
          <w:b/>
          <w:iCs/>
        </w:rPr>
        <w:t xml:space="preserve">on the Edge of a </w:t>
      </w:r>
      <w:r w:rsidR="00627CB8" w:rsidRPr="00CF0EE5">
        <w:rPr>
          <w:b/>
          <w:iCs/>
        </w:rPr>
        <w:t xml:space="preserve">$1.8 Trillion </w:t>
      </w:r>
      <w:r w:rsidR="00627CB8">
        <w:rPr>
          <w:b/>
          <w:iCs/>
        </w:rPr>
        <w:t xml:space="preserve">Debt Cliff </w:t>
      </w:r>
      <w:r w:rsidR="00627CB8" w:rsidRPr="00903042">
        <w:rPr>
          <w:b/>
          <w:bCs/>
        </w:rPr>
        <w:t xml:space="preserve">– </w:t>
      </w:r>
      <w:r w:rsidR="00627CB8" w:rsidRPr="00903042">
        <w:t>The real estate sector faces a looming $1.8 trillion in commercial loan maturities by 2026</w:t>
      </w:r>
      <w:r w:rsidR="00627CB8">
        <w:t xml:space="preserve">. While </w:t>
      </w:r>
      <w:r w:rsidR="00627CB8" w:rsidRPr="00903042">
        <w:t xml:space="preserve">lenders </w:t>
      </w:r>
      <w:r w:rsidR="00627CB8">
        <w:t xml:space="preserve">are </w:t>
      </w:r>
      <w:r w:rsidR="00627CB8" w:rsidRPr="00903042">
        <w:t>increasingly extending these loans in hopes of better market conditions</w:t>
      </w:r>
      <w:r w:rsidR="00627CB8">
        <w:t>,</w:t>
      </w:r>
      <w:r w:rsidR="00627CB8" w:rsidRPr="00903042">
        <w:t xml:space="preserve"> this temporary relief may soon reach its limits as banks grapple with regulatory constraints and insufficient capital reserves. While forecasts suggest a decline in federal funds rates from 5.25–5.50% to around 3.5–4.0% by the end of 2025, borrowers who secured loans at sub-4% cap rates may encounter debt service payments that are 75% to 100% higher. This increase, combined with a reset in property values, complicates refinancing efforts for many owners. The resolution of these maturing loans will significantly impact market dynamics</w:t>
      </w:r>
      <w:r w:rsidR="00627CB8">
        <w:t xml:space="preserve"> in 2025</w:t>
      </w:r>
      <w:r w:rsidR="00627CB8" w:rsidRPr="00903042">
        <w:t>, potentially triggering a domino effect that could alter competition and tenant retention across properties.</w:t>
      </w:r>
    </w:p>
    <w:p w14:paraId="37ADB1E3" w14:textId="2C447C87" w:rsidR="00627CB8" w:rsidRPr="00627CB8" w:rsidRDefault="00627CB8" w:rsidP="00627CB8">
      <w:pPr>
        <w:numPr>
          <w:ilvl w:val="0"/>
          <w:numId w:val="1"/>
        </w:numPr>
      </w:pPr>
      <w:r w:rsidRPr="006150EE">
        <w:rPr>
          <w:b/>
          <w:iCs/>
        </w:rPr>
        <w:t>Expect Higher Cap Rates as</w:t>
      </w:r>
      <w:r>
        <w:rPr>
          <w:b/>
          <w:iCs/>
        </w:rPr>
        <w:t xml:space="preserve"> Investors</w:t>
      </w:r>
      <w:r w:rsidRPr="006150EE">
        <w:rPr>
          <w:b/>
          <w:iCs/>
        </w:rPr>
        <w:t xml:space="preserve"> Price </w:t>
      </w:r>
      <w:r>
        <w:rPr>
          <w:b/>
          <w:iCs/>
        </w:rPr>
        <w:t xml:space="preserve">in </w:t>
      </w:r>
      <w:r w:rsidRPr="006150EE">
        <w:rPr>
          <w:b/>
          <w:bCs/>
        </w:rPr>
        <w:t>Geopolitical</w:t>
      </w:r>
      <w:r w:rsidRPr="00903042">
        <w:rPr>
          <w:b/>
          <w:bCs/>
        </w:rPr>
        <w:t xml:space="preserve"> Risks and Market Volatility – </w:t>
      </w:r>
      <w:r w:rsidRPr="00903042">
        <w:t xml:space="preserve">Ongoing geopolitical turmoil, from conflicts in Ukraine and Gaza to supply chain disruptions, is reshaping the real estate landscape. This instability drives inflation, affects labor and housing affordability, and complicates monetary policy, </w:t>
      </w:r>
      <w:r w:rsidR="00BB1AD8" w:rsidRPr="00903042">
        <w:t>all</w:t>
      </w:r>
      <w:r w:rsidRPr="00903042">
        <w:t xml:space="preserve"> which impact real estate pricing and risk-adjusted returns. Expect higher cap rates as investors price in greater risk. The current environment of "higher-for-longer" interest rates means returns must expand beyond the Treasury rate. In this</w:t>
      </w:r>
      <w:r>
        <w:t xml:space="preserve"> type of disrupted</w:t>
      </w:r>
      <w:r w:rsidRPr="00903042">
        <w:t xml:space="preserve"> </w:t>
      </w:r>
      <w:r>
        <w:t>market</w:t>
      </w:r>
      <w:r w:rsidRPr="00903042">
        <w:t xml:space="preserve">, it’s </w:t>
      </w:r>
      <w:r>
        <w:t>key</w:t>
      </w:r>
      <w:r w:rsidRPr="00903042">
        <w:t xml:space="preserve"> for investors to tailor strategies to specific market conditions</w:t>
      </w:r>
      <w:r w:rsidR="007D5837">
        <w:t>, as</w:t>
      </w:r>
      <w:r>
        <w:t xml:space="preserve"> they can no longer</w:t>
      </w:r>
      <w:r w:rsidRPr="00903042">
        <w:t xml:space="preserve"> rely on historical cycles.</w:t>
      </w:r>
    </w:p>
    <w:p w14:paraId="54823817" w14:textId="70924D55" w:rsidR="00627CB8" w:rsidRPr="00627CB8" w:rsidRDefault="00627CB8" w:rsidP="00627CB8">
      <w:pPr>
        <w:numPr>
          <w:ilvl w:val="0"/>
          <w:numId w:val="1"/>
        </w:numPr>
      </w:pPr>
      <w:r w:rsidRPr="00B1158C">
        <w:rPr>
          <w:b/>
          <w:bCs/>
        </w:rPr>
        <w:t>Insurance Costs Soar as Natural Disasters Cause Hundreds of Billions in Losses</w:t>
      </w:r>
      <w:r>
        <w:rPr>
          <w:i/>
          <w:iCs/>
        </w:rPr>
        <w:t xml:space="preserve"> </w:t>
      </w:r>
      <w:r w:rsidRPr="000B422E">
        <w:rPr>
          <w:b/>
          <w:bCs/>
        </w:rPr>
        <w:t xml:space="preserve">– </w:t>
      </w:r>
      <w:r>
        <w:t>Toweri</w:t>
      </w:r>
      <w:r w:rsidRPr="008050E3">
        <w:t xml:space="preserve">ng insurance premiums, driven by inflation, increased property values and extreme weather, are hitting real estate </w:t>
      </w:r>
      <w:r>
        <w:t xml:space="preserve">owners </w:t>
      </w:r>
      <w:r w:rsidRPr="008050E3">
        <w:t>hard. In 2023, natural disasters caused $380 billion in losses, with only 31% covered by insurance. Residential, hospitality, and senior living properties are particularly impacted, with rising claims and “runaway juries” inflating awards. Government legislation, like California's habitability lawsuits, adds further pressure. The old model of buying insurance is fading</w:t>
      </w:r>
      <w:r>
        <w:t xml:space="preserve"> as o</w:t>
      </w:r>
      <w:r w:rsidRPr="008050E3">
        <w:t>wners focus on risk management, rightsizing coverage, and exploring alternative risk transfer solutions to control escalating expenses.</w:t>
      </w:r>
    </w:p>
    <w:p w14:paraId="723501E9" w14:textId="7C8FF06B" w:rsidR="00627CB8" w:rsidRPr="00627CB8" w:rsidRDefault="00627CB8" w:rsidP="00627CB8">
      <w:pPr>
        <w:numPr>
          <w:ilvl w:val="0"/>
          <w:numId w:val="1"/>
        </w:numPr>
      </w:pPr>
      <w:r w:rsidRPr="005B6C8B">
        <w:rPr>
          <w:b/>
          <w:iCs/>
        </w:rPr>
        <w:t>The Dream of Affordable Housing Slips Further Out of Reach</w:t>
      </w:r>
      <w:r>
        <w:rPr>
          <w:b/>
          <w:bCs/>
        </w:rPr>
        <w:t xml:space="preserve"> </w:t>
      </w:r>
      <w:r w:rsidRPr="005B6C8B">
        <w:rPr>
          <w:b/>
          <w:bCs/>
        </w:rPr>
        <w:t>–</w:t>
      </w:r>
      <w:r>
        <w:rPr>
          <w:b/>
          <w:bCs/>
        </w:rPr>
        <w:t xml:space="preserve"> </w:t>
      </w:r>
      <w:r w:rsidRPr="00BA040B">
        <w:t xml:space="preserve">Housing affordability continues to worsen due to rising costs and a shortage of 4.4 million units. Multifamily rent growth has slowed, but rents have climbed 45% over the past 15 years. Despite increased construction, development is uneven, concentrated in major metros, and insufficient to meet demand. Nearly 54% of renters are now cost-burdened, spending over 30% of their income on housing. Declining multifamily construction and growing demand from younger renters suggest affordability challenges will intensify </w:t>
      </w:r>
      <w:r>
        <w:t xml:space="preserve">in </w:t>
      </w:r>
      <w:r w:rsidRPr="00BA040B">
        <w:t>2025. Solutions require both building new housing and preserving existing affordable units, with private sector involvement crucial.</w:t>
      </w:r>
    </w:p>
    <w:p w14:paraId="187ED530" w14:textId="77777777" w:rsidR="00627CB8" w:rsidRDefault="00627CB8" w:rsidP="00627CB8">
      <w:pPr>
        <w:numPr>
          <w:ilvl w:val="0"/>
          <w:numId w:val="1"/>
        </w:numPr>
      </w:pPr>
      <w:r w:rsidRPr="00803CC7">
        <w:rPr>
          <w:b/>
          <w:bCs/>
        </w:rPr>
        <w:t>Artificial Intelligence</w:t>
      </w:r>
      <w:r>
        <w:rPr>
          <w:b/>
          <w:bCs/>
        </w:rPr>
        <w:t xml:space="preserve"> (AI) Impact</w:t>
      </w:r>
      <w:r w:rsidRPr="00C17F50">
        <w:rPr>
          <w:b/>
          <w:bCs/>
        </w:rPr>
        <w:t xml:space="preserve"> </w:t>
      </w:r>
      <w:r>
        <w:rPr>
          <w:b/>
          <w:bCs/>
        </w:rPr>
        <w:t xml:space="preserve">Hinges on Data Accessibility and Accuracy </w:t>
      </w:r>
      <w:r w:rsidRPr="00C17F50">
        <w:rPr>
          <w:b/>
          <w:bCs/>
        </w:rPr>
        <w:t xml:space="preserve">– </w:t>
      </w:r>
      <w:r w:rsidRPr="000B422E">
        <w:t xml:space="preserve">AI's role in real estate is </w:t>
      </w:r>
      <w:r>
        <w:t xml:space="preserve">rapidly </w:t>
      </w:r>
      <w:r w:rsidRPr="000B422E">
        <w:t xml:space="preserve">evolving, with focus shifting to the accuracy, granularity, and timeliness of data inputs that drive algorithms. While AI can optimize </w:t>
      </w:r>
      <w:r>
        <w:t>certain processes,</w:t>
      </w:r>
      <w:r w:rsidRPr="000B422E">
        <w:t xml:space="preserve"> commercial real estate still faces challenges with fragmented data and location-specific nuances. As AI algorithms demand </w:t>
      </w:r>
      <w:r w:rsidRPr="000B422E">
        <w:lastRenderedPageBreak/>
        <w:t>significant computing power, data centers are booming, but advancements in algorithm efficiency could change their appeal as investment opportunities.</w:t>
      </w:r>
      <w:r>
        <w:t xml:space="preserve"> </w:t>
      </w:r>
    </w:p>
    <w:p w14:paraId="561FAEB9" w14:textId="304F3D6B" w:rsidR="00627CB8" w:rsidRPr="00627CB8" w:rsidRDefault="00627CB8" w:rsidP="00627CB8">
      <w:pPr>
        <w:numPr>
          <w:ilvl w:val="0"/>
          <w:numId w:val="1"/>
        </w:numPr>
      </w:pPr>
      <w:r w:rsidRPr="005B6C8B">
        <w:rPr>
          <w:b/>
          <w:iCs/>
        </w:rPr>
        <w:t>Extreme Weather Events Propel Need for Resilience and Regulation</w:t>
      </w:r>
      <w:r w:rsidRPr="005B6C8B">
        <w:rPr>
          <w:b/>
          <w:bCs/>
        </w:rPr>
        <w:t xml:space="preserve"> –</w:t>
      </w:r>
      <w:r>
        <w:rPr>
          <w:b/>
          <w:bCs/>
        </w:rPr>
        <w:t xml:space="preserve"> </w:t>
      </w:r>
      <w:r>
        <w:t>Increased frequency of h</w:t>
      </w:r>
      <w:r w:rsidRPr="000B422E">
        <w:t xml:space="preserve">urricanes, wildfires, and floods have caused billions in </w:t>
      </w:r>
      <w:r>
        <w:t xml:space="preserve">property </w:t>
      </w:r>
      <w:r w:rsidRPr="000B422E">
        <w:t>damages.</w:t>
      </w:r>
      <w:r>
        <w:t xml:space="preserve"> </w:t>
      </w:r>
      <w:r w:rsidRPr="000B422E">
        <w:t>In Europe, new regulations like the EU's Corporate Sustainability Reporting Directive and the U.K.'s Minimum Energy Efficiency Standards are setting strict sustainability rules, while U.S. regulations remain fragmented. As extreme weather and investor demands grow, the business case for resilient</w:t>
      </w:r>
      <w:r>
        <w:t xml:space="preserve"> </w:t>
      </w:r>
      <w:r w:rsidRPr="000B422E">
        <w:t>properties is stronger than ever, driving a need for investment in green technologies and AI.</w:t>
      </w:r>
    </w:p>
    <w:p w14:paraId="0B5CD251" w14:textId="4D8ACDCF" w:rsidR="00C17F50" w:rsidRDefault="0095601D" w:rsidP="00C17F50">
      <w:pPr>
        <w:numPr>
          <w:ilvl w:val="0"/>
          <w:numId w:val="1"/>
        </w:numPr>
      </w:pPr>
      <w:r>
        <w:rPr>
          <w:b/>
          <w:bCs/>
        </w:rPr>
        <w:t xml:space="preserve">Office Vacancies Will Drive </w:t>
      </w:r>
      <w:r w:rsidR="00803CC7">
        <w:rPr>
          <w:b/>
          <w:bCs/>
        </w:rPr>
        <w:t xml:space="preserve">Adaptive Reuse in Urban Cores </w:t>
      </w:r>
      <w:r w:rsidR="00C17F50" w:rsidRPr="001143AC">
        <w:rPr>
          <w:b/>
          <w:bCs/>
        </w:rPr>
        <w:t xml:space="preserve">– </w:t>
      </w:r>
      <w:r w:rsidR="00CB5544">
        <w:t xml:space="preserve">A generational shift is happening in cities, as how people use offices stabilizes into a new paradigm—leaving many office buildings poised for adaptive re-use into residential, healthcare and educational uses with the potential to revitalize urban cores. </w:t>
      </w:r>
      <w:r w:rsidR="00C17F50" w:rsidRPr="000B422E">
        <w:t xml:space="preserve">U.S. </w:t>
      </w:r>
      <w:r w:rsidR="00CB5544">
        <w:t xml:space="preserve">office </w:t>
      </w:r>
      <w:r w:rsidR="00C17F50" w:rsidRPr="000B422E">
        <w:t xml:space="preserve">vacancy rates </w:t>
      </w:r>
      <w:r w:rsidR="00CB5544">
        <w:t xml:space="preserve">are </w:t>
      </w:r>
      <w:r w:rsidR="00C17F50" w:rsidRPr="000B422E">
        <w:t>expected to peak at 19.7% by the end of 2024</w:t>
      </w:r>
      <w:r w:rsidR="00CB5544">
        <w:t xml:space="preserve">, </w:t>
      </w:r>
      <w:r w:rsidR="00C17F50" w:rsidRPr="000B422E">
        <w:t>leading to lower occupancy rates and declining property values, particularly in cities like New York and San Francisco.</w:t>
      </w:r>
      <w:r w:rsidR="00C17F50">
        <w:t xml:space="preserve"> </w:t>
      </w:r>
      <w:r w:rsidR="00C17F50" w:rsidRPr="000B422E">
        <w:t>This structural shift impacts tax bases, city finances, and the broader real estate ecosystem</w:t>
      </w:r>
      <w:r w:rsidR="00CB5544">
        <w:t>; however, w</w:t>
      </w:r>
      <w:r w:rsidR="00C17F50" w:rsidRPr="000B422E">
        <w:t xml:space="preserve">hile converting offices is a potential solution, it’s costly and complex. </w:t>
      </w:r>
    </w:p>
    <w:p w14:paraId="46E11CC6" w14:textId="33B287D4" w:rsidR="00627CB8" w:rsidRDefault="00627CB8" w:rsidP="00EF7D54">
      <w:pPr>
        <w:numPr>
          <w:ilvl w:val="0"/>
          <w:numId w:val="1"/>
        </w:numPr>
      </w:pPr>
      <w:r>
        <w:rPr>
          <w:b/>
          <w:bCs/>
        </w:rPr>
        <w:t>Buyer-Seller Price Gap Narrows</w:t>
      </w:r>
      <w:r w:rsidRPr="001143AC">
        <w:rPr>
          <w:b/>
          <w:bCs/>
        </w:rPr>
        <w:t xml:space="preserve"> – </w:t>
      </w:r>
      <w:r>
        <w:t>Some good news amongst uncertainty: t</w:t>
      </w:r>
      <w:r w:rsidRPr="001143AC">
        <w:t xml:space="preserve">he divide between buyers and sellers on asset prices persists but is no longer widening. Pricing declines, especially in sectors like </w:t>
      </w:r>
      <w:r>
        <w:t>core business district</w:t>
      </w:r>
      <w:r w:rsidRPr="001143AC">
        <w:t xml:space="preserve"> office, are slowing, providing hope for stabilization. Industrial real estate has been less affected, showing an 8.6% annual price increase. </w:t>
      </w:r>
      <w:r w:rsidRPr="00CC2A3D">
        <w:t xml:space="preserve">As interest rates stabilize, the worst of the pricing shock appears to be over. However, loan maturities could force sellers to adjust expectations, pushing more deals as refinancing pressures build. </w:t>
      </w:r>
      <w:r>
        <w:t xml:space="preserve">More </w:t>
      </w:r>
      <w:r w:rsidRPr="00CC2A3D">
        <w:t>decline</w:t>
      </w:r>
      <w:r>
        <w:t>s</w:t>
      </w:r>
      <w:r w:rsidRPr="00CC2A3D">
        <w:t xml:space="preserve"> in interest rates or stronger rent growth </w:t>
      </w:r>
      <w:r>
        <w:t>w</w:t>
      </w:r>
      <w:r w:rsidRPr="00CC2A3D">
        <w:t xml:space="preserve">ould also help </w:t>
      </w:r>
      <w:r>
        <w:t xml:space="preserve">further </w:t>
      </w:r>
      <w:r w:rsidRPr="00CC2A3D">
        <w:t>bridge the gap.</w:t>
      </w:r>
    </w:p>
    <w:p w14:paraId="507CDA26" w14:textId="128338C7" w:rsidR="00142172" w:rsidRDefault="008A7190" w:rsidP="00EF7D54">
      <w:pPr>
        <w:ind w:left="720"/>
      </w:pPr>
      <w:r w:rsidRPr="008A7190">
        <w:t>The full 202</w:t>
      </w:r>
      <w:r w:rsidR="00627CB8">
        <w:t>5</w:t>
      </w:r>
      <w:r w:rsidRPr="008A7190">
        <w:t xml:space="preserve"> Top Ten Issues Affecting Real Estate report can be viewed </w:t>
      </w:r>
      <w:hyperlink r:id="rId9" w:history="1">
        <w:r w:rsidRPr="00786051">
          <w:rPr>
            <w:rStyle w:val="Hyperlink"/>
          </w:rPr>
          <w:t>online</w:t>
        </w:r>
      </w:hyperlink>
      <w:r w:rsidR="00EF7D54">
        <w:t>.</w:t>
      </w:r>
    </w:p>
    <w:p w14:paraId="5B3988DC" w14:textId="77777777" w:rsidR="00EF7D54" w:rsidRPr="003B1C38" w:rsidRDefault="00142172" w:rsidP="00EF7D54">
      <w:pPr>
        <w:spacing w:after="0"/>
        <w:ind w:left="720"/>
      </w:pPr>
      <w:r w:rsidRPr="003B1C38">
        <w:br/>
      </w:r>
      <w:r w:rsidRPr="003B1C38">
        <w:rPr>
          <w:b/>
          <w:bCs/>
        </w:rPr>
        <w:t>Media Contact:</w:t>
      </w:r>
    </w:p>
    <w:p w14:paraId="2978C4F8" w14:textId="0A877FA9" w:rsidR="00142172" w:rsidRPr="003A3460" w:rsidRDefault="003A3460" w:rsidP="00EF7D54">
      <w:pPr>
        <w:spacing w:after="0"/>
        <w:ind w:left="720"/>
        <w:rPr>
          <w:b/>
          <w:bCs/>
          <w:color w:val="C00000"/>
        </w:rPr>
      </w:pPr>
      <w:r w:rsidRPr="003A3460">
        <w:rPr>
          <w:b/>
          <w:bCs/>
          <w:color w:val="C00000"/>
        </w:rPr>
        <w:t>Your Name or Your PR Representative</w:t>
      </w:r>
    </w:p>
    <w:p w14:paraId="3F9DD596" w14:textId="7B3387BF" w:rsidR="00142172" w:rsidRPr="003A3460" w:rsidRDefault="000E6DD0" w:rsidP="00EF7D54">
      <w:pPr>
        <w:spacing w:after="0"/>
        <w:rPr>
          <w:b/>
          <w:bCs/>
          <w:color w:val="C00000"/>
          <w:lang w:val="it-IT"/>
        </w:rPr>
      </w:pPr>
      <w:r w:rsidRPr="003A3460">
        <w:rPr>
          <w:b/>
          <w:bCs/>
          <w:color w:val="C00000"/>
        </w:rPr>
        <w:tab/>
      </w:r>
      <w:proofErr w:type="gramStart"/>
      <w:r w:rsidR="003A3460" w:rsidRPr="003A3460">
        <w:rPr>
          <w:b/>
          <w:bCs/>
          <w:color w:val="C00000"/>
          <w:lang w:val="it-IT"/>
        </w:rPr>
        <w:t>Email</w:t>
      </w:r>
      <w:proofErr w:type="gramEnd"/>
      <w:r w:rsidR="003A3460" w:rsidRPr="003A3460">
        <w:rPr>
          <w:b/>
          <w:bCs/>
          <w:color w:val="C00000"/>
          <w:lang w:val="it-IT"/>
        </w:rPr>
        <w:t xml:space="preserve"> </w:t>
      </w:r>
      <w:proofErr w:type="spellStart"/>
      <w:r w:rsidR="003A3460" w:rsidRPr="003A3460">
        <w:rPr>
          <w:b/>
          <w:bCs/>
          <w:color w:val="C00000"/>
          <w:lang w:val="it-IT"/>
        </w:rPr>
        <w:t>Address</w:t>
      </w:r>
      <w:proofErr w:type="spellEnd"/>
    </w:p>
    <w:p w14:paraId="5DB561DD" w14:textId="5E368E0D" w:rsidR="00142172" w:rsidRPr="003A3460" w:rsidRDefault="003A3460" w:rsidP="00EF7D54">
      <w:pPr>
        <w:spacing w:after="0"/>
        <w:ind w:left="720"/>
        <w:rPr>
          <w:b/>
          <w:bCs/>
          <w:color w:val="C00000"/>
        </w:rPr>
      </w:pPr>
      <w:r w:rsidRPr="003A3460">
        <w:rPr>
          <w:b/>
          <w:bCs/>
          <w:color w:val="C00000"/>
        </w:rPr>
        <w:t>Phone Number</w:t>
      </w:r>
    </w:p>
    <w:sectPr w:rsidR="00142172" w:rsidRPr="003A3460" w:rsidSect="000E6DD0">
      <w:headerReference w:type="default" r:id="rId10"/>
      <w:pgSz w:w="12240" w:h="15840"/>
      <w:pgMar w:top="1440" w:right="1440" w:bottom="1440" w:left="1440" w:header="2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AE639" w14:textId="77777777" w:rsidR="00BB37C8" w:rsidRDefault="00BB37C8" w:rsidP="000E6DD0">
      <w:pPr>
        <w:spacing w:after="0" w:line="240" w:lineRule="auto"/>
      </w:pPr>
      <w:r>
        <w:separator/>
      </w:r>
    </w:p>
  </w:endnote>
  <w:endnote w:type="continuationSeparator" w:id="0">
    <w:p w14:paraId="1CC4B791" w14:textId="77777777" w:rsidR="00BB37C8" w:rsidRDefault="00BB37C8" w:rsidP="000E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0C38" w14:textId="77777777" w:rsidR="00BB37C8" w:rsidRDefault="00BB37C8" w:rsidP="000E6DD0">
      <w:pPr>
        <w:spacing w:after="0" w:line="240" w:lineRule="auto"/>
      </w:pPr>
      <w:r>
        <w:separator/>
      </w:r>
    </w:p>
  </w:footnote>
  <w:footnote w:type="continuationSeparator" w:id="0">
    <w:p w14:paraId="550281F5" w14:textId="77777777" w:rsidR="00BB37C8" w:rsidRDefault="00BB37C8" w:rsidP="000E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341B" w14:textId="218C2F20" w:rsidR="000E6DD0" w:rsidRDefault="000E6DD0" w:rsidP="000E6DD0">
    <w:pPr>
      <w:pStyle w:val="Header"/>
      <w:ind w:left="-72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8341F"/>
    <w:multiLevelType w:val="multilevel"/>
    <w:tmpl w:val="9D009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457E1F"/>
    <w:multiLevelType w:val="hybridMultilevel"/>
    <w:tmpl w:val="013237E2"/>
    <w:lvl w:ilvl="0" w:tplc="90EAF588">
      <w:start w:val="2025"/>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699212">
    <w:abstractNumId w:val="0"/>
  </w:num>
  <w:num w:numId="2" w16cid:durableId="138995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30"/>
    <w:rsid w:val="00012F36"/>
    <w:rsid w:val="00016FFF"/>
    <w:rsid w:val="0006749E"/>
    <w:rsid w:val="00080AF6"/>
    <w:rsid w:val="000A3E2A"/>
    <w:rsid w:val="000B422E"/>
    <w:rsid w:val="000D3744"/>
    <w:rsid w:val="000E6DD0"/>
    <w:rsid w:val="000F24B5"/>
    <w:rsid w:val="001143AC"/>
    <w:rsid w:val="00114792"/>
    <w:rsid w:val="00142172"/>
    <w:rsid w:val="001A47A1"/>
    <w:rsid w:val="001B3170"/>
    <w:rsid w:val="002541B6"/>
    <w:rsid w:val="00256477"/>
    <w:rsid w:val="002A4D88"/>
    <w:rsid w:val="002D3918"/>
    <w:rsid w:val="002F2DAA"/>
    <w:rsid w:val="003040B3"/>
    <w:rsid w:val="00304583"/>
    <w:rsid w:val="00304C08"/>
    <w:rsid w:val="00336890"/>
    <w:rsid w:val="00357E76"/>
    <w:rsid w:val="003A3460"/>
    <w:rsid w:val="003B1C38"/>
    <w:rsid w:val="003F637C"/>
    <w:rsid w:val="00407174"/>
    <w:rsid w:val="00452E83"/>
    <w:rsid w:val="0048721E"/>
    <w:rsid w:val="004A3D7D"/>
    <w:rsid w:val="004D254C"/>
    <w:rsid w:val="004E78C3"/>
    <w:rsid w:val="004F0CBA"/>
    <w:rsid w:val="005011F0"/>
    <w:rsid w:val="00551A05"/>
    <w:rsid w:val="00566FC5"/>
    <w:rsid w:val="005834D6"/>
    <w:rsid w:val="005B6C8B"/>
    <w:rsid w:val="005B71A2"/>
    <w:rsid w:val="005D20F6"/>
    <w:rsid w:val="005D6224"/>
    <w:rsid w:val="006150EE"/>
    <w:rsid w:val="00627CB8"/>
    <w:rsid w:val="0063304A"/>
    <w:rsid w:val="00786051"/>
    <w:rsid w:val="00792311"/>
    <w:rsid w:val="007D43DD"/>
    <w:rsid w:val="007D5837"/>
    <w:rsid w:val="007E1607"/>
    <w:rsid w:val="00803CC7"/>
    <w:rsid w:val="008050E3"/>
    <w:rsid w:val="00872E30"/>
    <w:rsid w:val="008733EC"/>
    <w:rsid w:val="00882539"/>
    <w:rsid w:val="008A7190"/>
    <w:rsid w:val="008C3D8E"/>
    <w:rsid w:val="008D2A50"/>
    <w:rsid w:val="00903042"/>
    <w:rsid w:val="0095601D"/>
    <w:rsid w:val="00981B2E"/>
    <w:rsid w:val="009966EC"/>
    <w:rsid w:val="009A4757"/>
    <w:rsid w:val="009A5394"/>
    <w:rsid w:val="009D6AA0"/>
    <w:rsid w:val="00B1158C"/>
    <w:rsid w:val="00BA040B"/>
    <w:rsid w:val="00BB1AD8"/>
    <w:rsid w:val="00BB37C8"/>
    <w:rsid w:val="00C17F50"/>
    <w:rsid w:val="00C61613"/>
    <w:rsid w:val="00C8249D"/>
    <w:rsid w:val="00CB0132"/>
    <w:rsid w:val="00CB44D1"/>
    <w:rsid w:val="00CB5544"/>
    <w:rsid w:val="00CC24BA"/>
    <w:rsid w:val="00CC2A3D"/>
    <w:rsid w:val="00CD67D6"/>
    <w:rsid w:val="00CF0EE5"/>
    <w:rsid w:val="00D03E07"/>
    <w:rsid w:val="00D30133"/>
    <w:rsid w:val="00D3066B"/>
    <w:rsid w:val="00D56BFC"/>
    <w:rsid w:val="00D63DD0"/>
    <w:rsid w:val="00DA0924"/>
    <w:rsid w:val="00DA7BC7"/>
    <w:rsid w:val="00DC43F1"/>
    <w:rsid w:val="00DF434F"/>
    <w:rsid w:val="00E5041B"/>
    <w:rsid w:val="00EF7D54"/>
    <w:rsid w:val="00F66C4F"/>
    <w:rsid w:val="00F67E74"/>
    <w:rsid w:val="00F979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814B"/>
  <w15:docId w15:val="{7A118ED3-897C-ED46-B96B-42361846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A3D"/>
    <w:rPr>
      <w:color w:val="0563C1" w:themeColor="hyperlink"/>
      <w:u w:val="single"/>
    </w:rPr>
  </w:style>
  <w:style w:type="paragraph" w:styleId="NoSpacing">
    <w:name w:val="No Spacing"/>
    <w:uiPriority w:val="1"/>
    <w:qFormat/>
    <w:rsid w:val="00CC2A3D"/>
    <w:pPr>
      <w:spacing w:after="0" w:line="240" w:lineRule="auto"/>
    </w:pPr>
  </w:style>
  <w:style w:type="paragraph" w:styleId="NormalWeb">
    <w:name w:val="Normal (Web)"/>
    <w:basedOn w:val="Normal"/>
    <w:uiPriority w:val="99"/>
    <w:semiHidden/>
    <w:unhideWhenUsed/>
    <w:rsid w:val="00CC2A3D"/>
    <w:rPr>
      <w:rFonts w:ascii="Times New Roman" w:hAnsi="Times New Roman" w:cs="Times New Roman"/>
      <w:sz w:val="24"/>
      <w:szCs w:val="24"/>
    </w:rPr>
  </w:style>
  <w:style w:type="paragraph" w:styleId="ListParagraph">
    <w:name w:val="List Paragraph"/>
    <w:basedOn w:val="Normal"/>
    <w:uiPriority w:val="34"/>
    <w:qFormat/>
    <w:rsid w:val="00CC2A3D"/>
    <w:pPr>
      <w:ind w:left="720"/>
      <w:contextualSpacing/>
    </w:pPr>
  </w:style>
  <w:style w:type="character" w:styleId="CommentReference">
    <w:name w:val="annotation reference"/>
    <w:basedOn w:val="DefaultParagraphFont"/>
    <w:uiPriority w:val="99"/>
    <w:semiHidden/>
    <w:unhideWhenUsed/>
    <w:rsid w:val="00DA7BC7"/>
    <w:rPr>
      <w:sz w:val="16"/>
      <w:szCs w:val="16"/>
    </w:rPr>
  </w:style>
  <w:style w:type="paragraph" w:styleId="CommentText">
    <w:name w:val="annotation text"/>
    <w:basedOn w:val="Normal"/>
    <w:link w:val="CommentTextChar"/>
    <w:uiPriority w:val="99"/>
    <w:semiHidden/>
    <w:unhideWhenUsed/>
    <w:rsid w:val="00DA7BC7"/>
    <w:pPr>
      <w:spacing w:line="240" w:lineRule="auto"/>
    </w:pPr>
    <w:rPr>
      <w:sz w:val="20"/>
      <w:szCs w:val="20"/>
    </w:rPr>
  </w:style>
  <w:style w:type="character" w:customStyle="1" w:styleId="CommentTextChar">
    <w:name w:val="Comment Text Char"/>
    <w:basedOn w:val="DefaultParagraphFont"/>
    <w:link w:val="CommentText"/>
    <w:uiPriority w:val="99"/>
    <w:semiHidden/>
    <w:rsid w:val="00DA7BC7"/>
    <w:rPr>
      <w:sz w:val="20"/>
      <w:szCs w:val="20"/>
    </w:rPr>
  </w:style>
  <w:style w:type="paragraph" w:styleId="CommentSubject">
    <w:name w:val="annotation subject"/>
    <w:basedOn w:val="CommentText"/>
    <w:next w:val="CommentText"/>
    <w:link w:val="CommentSubjectChar"/>
    <w:uiPriority w:val="99"/>
    <w:semiHidden/>
    <w:unhideWhenUsed/>
    <w:rsid w:val="00DA7BC7"/>
    <w:rPr>
      <w:b/>
      <w:bCs/>
    </w:rPr>
  </w:style>
  <w:style w:type="character" w:customStyle="1" w:styleId="CommentSubjectChar">
    <w:name w:val="Comment Subject Char"/>
    <w:basedOn w:val="CommentTextChar"/>
    <w:link w:val="CommentSubject"/>
    <w:uiPriority w:val="99"/>
    <w:semiHidden/>
    <w:rsid w:val="00DA7BC7"/>
    <w:rPr>
      <w:b/>
      <w:bCs/>
      <w:sz w:val="20"/>
      <w:szCs w:val="20"/>
    </w:rPr>
  </w:style>
  <w:style w:type="paragraph" w:styleId="BalloonText">
    <w:name w:val="Balloon Text"/>
    <w:basedOn w:val="Normal"/>
    <w:link w:val="BalloonTextChar"/>
    <w:uiPriority w:val="99"/>
    <w:semiHidden/>
    <w:unhideWhenUsed/>
    <w:rsid w:val="00CB4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4D1"/>
    <w:rPr>
      <w:rFonts w:ascii="Tahoma" w:hAnsi="Tahoma" w:cs="Tahoma"/>
      <w:sz w:val="16"/>
      <w:szCs w:val="16"/>
    </w:rPr>
  </w:style>
  <w:style w:type="paragraph" w:styleId="Revision">
    <w:name w:val="Revision"/>
    <w:hidden/>
    <w:uiPriority w:val="99"/>
    <w:semiHidden/>
    <w:rsid w:val="009D6AA0"/>
    <w:pPr>
      <w:spacing w:after="0" w:line="240" w:lineRule="auto"/>
    </w:pPr>
  </w:style>
  <w:style w:type="character" w:styleId="FollowedHyperlink">
    <w:name w:val="FollowedHyperlink"/>
    <w:basedOn w:val="DefaultParagraphFont"/>
    <w:uiPriority w:val="99"/>
    <w:semiHidden/>
    <w:unhideWhenUsed/>
    <w:rsid w:val="002F2DAA"/>
    <w:rPr>
      <w:color w:val="954F72" w:themeColor="followedHyperlink"/>
      <w:u w:val="single"/>
    </w:rPr>
  </w:style>
  <w:style w:type="character" w:styleId="UnresolvedMention">
    <w:name w:val="Unresolved Mention"/>
    <w:basedOn w:val="DefaultParagraphFont"/>
    <w:uiPriority w:val="99"/>
    <w:semiHidden/>
    <w:unhideWhenUsed/>
    <w:rsid w:val="008A7190"/>
    <w:rPr>
      <w:color w:val="605E5C"/>
      <w:shd w:val="clear" w:color="auto" w:fill="E1DFDD"/>
    </w:rPr>
  </w:style>
  <w:style w:type="paragraph" w:styleId="Header">
    <w:name w:val="header"/>
    <w:basedOn w:val="Normal"/>
    <w:link w:val="HeaderChar"/>
    <w:uiPriority w:val="99"/>
    <w:unhideWhenUsed/>
    <w:rsid w:val="000E6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DD0"/>
  </w:style>
  <w:style w:type="paragraph" w:styleId="Footer">
    <w:name w:val="footer"/>
    <w:basedOn w:val="Normal"/>
    <w:link w:val="FooterChar"/>
    <w:uiPriority w:val="99"/>
    <w:unhideWhenUsed/>
    <w:rsid w:val="000E6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1213">
      <w:bodyDiv w:val="1"/>
      <w:marLeft w:val="0"/>
      <w:marRight w:val="0"/>
      <w:marTop w:val="0"/>
      <w:marBottom w:val="0"/>
      <w:divBdr>
        <w:top w:val="none" w:sz="0" w:space="0" w:color="auto"/>
        <w:left w:val="none" w:sz="0" w:space="0" w:color="auto"/>
        <w:bottom w:val="none" w:sz="0" w:space="0" w:color="auto"/>
        <w:right w:val="none" w:sz="0" w:space="0" w:color="auto"/>
      </w:divBdr>
    </w:div>
    <w:div w:id="806699553">
      <w:bodyDiv w:val="1"/>
      <w:marLeft w:val="0"/>
      <w:marRight w:val="0"/>
      <w:marTop w:val="0"/>
      <w:marBottom w:val="0"/>
      <w:divBdr>
        <w:top w:val="none" w:sz="0" w:space="0" w:color="auto"/>
        <w:left w:val="none" w:sz="0" w:space="0" w:color="auto"/>
        <w:bottom w:val="none" w:sz="0" w:space="0" w:color="auto"/>
        <w:right w:val="none" w:sz="0" w:space="0" w:color="auto"/>
      </w:divBdr>
    </w:div>
    <w:div w:id="1214732182">
      <w:bodyDiv w:val="1"/>
      <w:marLeft w:val="0"/>
      <w:marRight w:val="0"/>
      <w:marTop w:val="0"/>
      <w:marBottom w:val="0"/>
      <w:divBdr>
        <w:top w:val="none" w:sz="0" w:space="0" w:color="auto"/>
        <w:left w:val="none" w:sz="0" w:space="0" w:color="auto"/>
        <w:bottom w:val="none" w:sz="0" w:space="0" w:color="auto"/>
        <w:right w:val="none" w:sz="0" w:space="0" w:color="auto"/>
      </w:divBdr>
    </w:div>
    <w:div w:id="1671323506">
      <w:bodyDiv w:val="1"/>
      <w:marLeft w:val="0"/>
      <w:marRight w:val="0"/>
      <w:marTop w:val="0"/>
      <w:marBottom w:val="0"/>
      <w:divBdr>
        <w:top w:val="none" w:sz="0" w:space="0" w:color="auto"/>
        <w:left w:val="none" w:sz="0" w:space="0" w:color="auto"/>
        <w:bottom w:val="none" w:sz="0" w:space="0" w:color="auto"/>
        <w:right w:val="none" w:sz="0" w:space="0" w:color="auto"/>
      </w:divBdr>
    </w:div>
    <w:div w:id="1782064677">
      <w:bodyDiv w:val="1"/>
      <w:marLeft w:val="0"/>
      <w:marRight w:val="0"/>
      <w:marTop w:val="0"/>
      <w:marBottom w:val="0"/>
      <w:divBdr>
        <w:top w:val="none" w:sz="0" w:space="0" w:color="auto"/>
        <w:left w:val="none" w:sz="0" w:space="0" w:color="auto"/>
        <w:bottom w:val="none" w:sz="0" w:space="0" w:color="auto"/>
        <w:right w:val="none" w:sz="0" w:space="0" w:color="auto"/>
      </w:divBdr>
    </w:div>
    <w:div w:id="1896770929">
      <w:bodyDiv w:val="1"/>
      <w:marLeft w:val="0"/>
      <w:marRight w:val="0"/>
      <w:marTop w:val="0"/>
      <w:marBottom w:val="0"/>
      <w:divBdr>
        <w:top w:val="none" w:sz="0" w:space="0" w:color="auto"/>
        <w:left w:val="none" w:sz="0" w:space="0" w:color="auto"/>
        <w:bottom w:val="none" w:sz="0" w:space="0" w:color="auto"/>
        <w:right w:val="none" w:sz="0" w:space="0" w:color="auto"/>
      </w:divBdr>
    </w:div>
    <w:div w:id="1939674245">
      <w:bodyDiv w:val="1"/>
      <w:marLeft w:val="0"/>
      <w:marRight w:val="0"/>
      <w:marTop w:val="0"/>
      <w:marBottom w:val="0"/>
      <w:divBdr>
        <w:top w:val="none" w:sz="0" w:space="0" w:color="auto"/>
        <w:left w:val="none" w:sz="0" w:space="0" w:color="auto"/>
        <w:bottom w:val="none" w:sz="0" w:space="0" w:color="auto"/>
        <w:right w:val="none" w:sz="0" w:space="0" w:color="auto"/>
      </w:divBdr>
    </w:div>
    <w:div w:id="1977099870">
      <w:bodyDiv w:val="1"/>
      <w:marLeft w:val="0"/>
      <w:marRight w:val="0"/>
      <w:marTop w:val="0"/>
      <w:marBottom w:val="0"/>
      <w:divBdr>
        <w:top w:val="none" w:sz="0" w:space="0" w:color="auto"/>
        <w:left w:val="none" w:sz="0" w:space="0" w:color="auto"/>
        <w:bottom w:val="none" w:sz="0" w:space="0" w:color="auto"/>
        <w:right w:val="none" w:sz="0" w:space="0" w:color="auto"/>
      </w:divBdr>
    </w:div>
    <w:div w:id="2011445748">
      <w:bodyDiv w:val="1"/>
      <w:marLeft w:val="0"/>
      <w:marRight w:val="0"/>
      <w:marTop w:val="0"/>
      <w:marBottom w:val="0"/>
      <w:divBdr>
        <w:top w:val="none" w:sz="0" w:space="0" w:color="auto"/>
        <w:left w:val="none" w:sz="0" w:space="0" w:color="auto"/>
        <w:bottom w:val="none" w:sz="0" w:space="0" w:color="auto"/>
        <w:right w:val="none" w:sz="0" w:space="0" w:color="auto"/>
      </w:divBdr>
    </w:div>
    <w:div w:id="20927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org/" TargetMode="External"/><Relationship Id="rId3" Type="http://schemas.openxmlformats.org/officeDocument/2006/relationships/settings" Target="settings.xml"/><Relationship Id="rId7" Type="http://schemas.openxmlformats.org/officeDocument/2006/relationships/hyperlink" Target="http://cre.org/top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org/top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RJ Sirois</cp:lastModifiedBy>
  <cp:revision>7</cp:revision>
  <dcterms:created xsi:type="dcterms:W3CDTF">2024-10-21T17:56:00Z</dcterms:created>
  <dcterms:modified xsi:type="dcterms:W3CDTF">2024-10-22T15:12:00Z</dcterms:modified>
</cp:coreProperties>
</file>